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INSTITUTUL NAȚIONAL AL JUSTIȚIEI</w:t>
      </w:r>
    </w:p>
    <w:p w:rsidR="00E900DD" w:rsidRDefault="00E900DD" w:rsidP="00E900DD">
      <w:pPr>
        <w:spacing w:before="120" w:after="0" w:line="240" w:lineRule="auto"/>
        <w:jc w:val="center"/>
        <w:rPr>
          <w:rFonts w:asciiTheme="minorHAnsi" w:hAnsiTheme="minorHAnsi" w:cstheme="minorHAnsi"/>
          <w:b/>
          <w:color w:val="000000"/>
          <w:sz w:val="28"/>
          <w:szCs w:val="28"/>
          <w:lang w:val="ro-RO"/>
        </w:rPr>
      </w:pPr>
    </w:p>
    <w:p w:rsidR="00E900DD" w:rsidRDefault="00E900DD" w:rsidP="00E900DD">
      <w:pPr>
        <w:spacing w:before="120" w:after="0" w:line="240" w:lineRule="auto"/>
        <w:jc w:val="center"/>
        <w:rPr>
          <w:rFonts w:asciiTheme="minorHAnsi" w:hAnsiTheme="minorHAnsi" w:cstheme="minorHAnsi"/>
          <w:color w:val="000000"/>
          <w:sz w:val="28"/>
          <w:szCs w:val="28"/>
          <w:lang w:val="ro-RO"/>
        </w:rPr>
      </w:pPr>
    </w:p>
    <w:p w:rsidR="00E900DD" w:rsidRDefault="00E900DD" w:rsidP="00E900DD">
      <w:pPr>
        <w:spacing w:before="120" w:after="0" w:line="240" w:lineRule="auto"/>
        <w:jc w:val="center"/>
        <w:rPr>
          <w:rFonts w:asciiTheme="minorHAnsi" w:hAnsiTheme="minorHAnsi" w:cstheme="minorHAnsi"/>
          <w:color w:val="000000"/>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Ghid didactic</w:t>
      </w:r>
    </w:p>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 xml:space="preserve">Curs de </w:t>
      </w:r>
      <w:r w:rsidR="00601D3A">
        <w:rPr>
          <w:rFonts w:asciiTheme="minorHAnsi" w:hAnsiTheme="minorHAnsi" w:cstheme="minorHAnsi"/>
          <w:b/>
          <w:sz w:val="28"/>
          <w:szCs w:val="28"/>
          <w:lang w:val="ro-RO"/>
        </w:rPr>
        <w:t>instruire la distanţă</w:t>
      </w:r>
    </w:p>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priv</w:t>
      </w:r>
      <w:r w:rsidR="00535D87">
        <w:rPr>
          <w:rFonts w:asciiTheme="minorHAnsi" w:hAnsiTheme="minorHAnsi" w:cstheme="minorHAnsi"/>
          <w:b/>
          <w:sz w:val="28"/>
          <w:szCs w:val="28"/>
          <w:lang w:val="ro-RO"/>
        </w:rPr>
        <w:t>i</w:t>
      </w:r>
      <w:r>
        <w:rPr>
          <w:rFonts w:asciiTheme="minorHAnsi" w:hAnsiTheme="minorHAnsi" w:cstheme="minorHAnsi"/>
          <w:b/>
          <w:sz w:val="28"/>
          <w:szCs w:val="28"/>
          <w:lang w:val="ro-RO"/>
        </w:rPr>
        <w:t>nd specificul psihologic şi particularităţile audierii</w:t>
      </w:r>
    </w:p>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 xml:space="preserve"> victimelor traficului de fiinţe umane</w:t>
      </w: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535D87" w:rsidP="00535D87">
      <w:pPr>
        <w:tabs>
          <w:tab w:val="left" w:pos="3814"/>
        </w:tabs>
        <w:spacing w:before="120" w:after="0" w:line="240" w:lineRule="auto"/>
        <w:rPr>
          <w:rFonts w:asciiTheme="minorHAnsi" w:hAnsiTheme="minorHAnsi" w:cstheme="minorHAnsi"/>
          <w:sz w:val="28"/>
          <w:szCs w:val="28"/>
          <w:lang w:val="ro-RO"/>
        </w:rPr>
      </w:pPr>
      <w:r>
        <w:rPr>
          <w:rFonts w:asciiTheme="minorHAnsi" w:hAnsiTheme="minorHAnsi" w:cstheme="minorHAnsi"/>
          <w:sz w:val="28"/>
          <w:szCs w:val="28"/>
          <w:lang w:val="ro-RO"/>
        </w:rPr>
        <w:tab/>
      </w: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4"/>
          <w:szCs w:val="24"/>
          <w:lang w:val="ro-RO"/>
        </w:rPr>
      </w:pPr>
    </w:p>
    <w:p w:rsidR="00E900DD" w:rsidRDefault="00E900DD" w:rsidP="00E900DD">
      <w:pPr>
        <w:spacing w:before="120" w:after="0" w:line="240" w:lineRule="auto"/>
        <w:jc w:val="center"/>
        <w:rPr>
          <w:rFonts w:asciiTheme="minorHAnsi" w:hAnsiTheme="minorHAnsi" w:cstheme="minorHAnsi"/>
          <w:sz w:val="24"/>
          <w:szCs w:val="24"/>
          <w:lang w:val="ro-RO"/>
        </w:rPr>
      </w:pPr>
    </w:p>
    <w:p w:rsidR="00E900DD" w:rsidRDefault="00E900DD" w:rsidP="00E900DD">
      <w:pPr>
        <w:spacing w:before="120" w:after="0" w:line="240" w:lineRule="auto"/>
        <w:jc w:val="center"/>
        <w:rPr>
          <w:rFonts w:asciiTheme="minorHAnsi" w:hAnsiTheme="minorHAnsi" w:cstheme="minorHAnsi"/>
          <w:sz w:val="24"/>
          <w:szCs w:val="24"/>
          <w:lang w:val="ro-RO"/>
        </w:rPr>
      </w:pPr>
    </w:p>
    <w:p w:rsidR="00E900DD" w:rsidRDefault="00E900DD" w:rsidP="00E900DD">
      <w:pPr>
        <w:spacing w:before="120" w:after="0" w:line="240" w:lineRule="auto"/>
        <w:jc w:val="center"/>
        <w:rPr>
          <w:rFonts w:asciiTheme="minorHAnsi" w:hAnsiTheme="minorHAnsi" w:cstheme="minorHAnsi"/>
          <w:sz w:val="24"/>
          <w:szCs w:val="24"/>
          <w:lang w:val="ro-RO"/>
        </w:rPr>
      </w:pPr>
    </w:p>
    <w:p w:rsidR="00E900DD" w:rsidRDefault="00E900DD" w:rsidP="00535D87">
      <w:pPr>
        <w:spacing w:before="120" w:after="0" w:line="240" w:lineRule="auto"/>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sz w:val="28"/>
          <w:szCs w:val="28"/>
          <w:lang w:val="ro-RO"/>
        </w:rPr>
      </w:pPr>
    </w:p>
    <w:p w:rsidR="00E900DD" w:rsidRDefault="00E900DD" w:rsidP="00E900DD">
      <w:pPr>
        <w:spacing w:before="120" w:after="0" w:line="240" w:lineRule="auto"/>
        <w:jc w:val="center"/>
        <w:rPr>
          <w:rFonts w:asciiTheme="minorHAnsi" w:hAnsiTheme="minorHAnsi" w:cstheme="minorHAnsi"/>
          <w:b/>
          <w:sz w:val="28"/>
          <w:szCs w:val="28"/>
          <w:lang w:val="ro-RO"/>
        </w:rPr>
      </w:pPr>
      <w:r>
        <w:rPr>
          <w:rFonts w:asciiTheme="minorHAnsi" w:hAnsiTheme="minorHAnsi" w:cstheme="minorHAnsi"/>
          <w:b/>
          <w:sz w:val="28"/>
          <w:szCs w:val="28"/>
          <w:lang w:val="ro-RO"/>
        </w:rPr>
        <w:t>2014</w:t>
      </w:r>
    </w:p>
    <w:p w:rsidR="00E900DD" w:rsidRDefault="00E900DD" w:rsidP="00E900DD">
      <w:pPr>
        <w:spacing w:after="0" w:line="240" w:lineRule="auto"/>
        <w:rPr>
          <w:rFonts w:asciiTheme="minorHAnsi" w:hAnsiTheme="minorHAnsi" w:cstheme="minorHAnsi"/>
          <w:b/>
          <w:lang w:val="ro-RO"/>
        </w:rPr>
        <w:sectPr w:rsidR="00E900DD">
          <w:footerReference w:type="default" r:id="rId8"/>
          <w:pgSz w:w="11906" w:h="16838"/>
          <w:pgMar w:top="1134" w:right="850" w:bottom="1134" w:left="1701" w:header="708" w:footer="708" w:gutter="0"/>
          <w:cols w:space="720"/>
        </w:sectPr>
      </w:pPr>
    </w:p>
    <w:p w:rsidR="00E900DD" w:rsidRDefault="00E900DD" w:rsidP="00E900DD">
      <w:pPr>
        <w:spacing w:before="120" w:after="0" w:line="240" w:lineRule="auto"/>
        <w:jc w:val="both"/>
        <w:rPr>
          <w:rFonts w:asciiTheme="minorHAnsi" w:hAnsiTheme="minorHAnsi" w:cstheme="minorHAnsi"/>
          <w:sz w:val="24"/>
          <w:szCs w:val="24"/>
          <w:lang w:val="ro-RO"/>
        </w:rPr>
      </w:pPr>
      <w:r>
        <w:rPr>
          <w:rFonts w:asciiTheme="minorHAnsi" w:hAnsiTheme="minorHAnsi" w:cstheme="minorHAnsi"/>
          <w:b/>
          <w:lang w:val="ro-RO"/>
        </w:rPr>
        <w:lastRenderedPageBreak/>
        <w:t xml:space="preserve">Denumirea cursului de instruire la distanţă: </w:t>
      </w:r>
      <w:r w:rsidR="001F29BB">
        <w:rPr>
          <w:rFonts w:asciiTheme="minorHAnsi" w:hAnsiTheme="minorHAnsi" w:cstheme="minorHAnsi"/>
          <w:sz w:val="24"/>
          <w:szCs w:val="24"/>
          <w:lang w:val="ro-RO"/>
        </w:rPr>
        <w:t>„S</w:t>
      </w:r>
      <w:r>
        <w:rPr>
          <w:rFonts w:asciiTheme="minorHAnsi" w:hAnsiTheme="minorHAnsi" w:cstheme="minorHAnsi"/>
          <w:sz w:val="24"/>
          <w:szCs w:val="24"/>
          <w:lang w:val="ro-RO"/>
        </w:rPr>
        <w:t>pecificul psihologic şi particularităţile audierii victimelor traficului de fiinţe umane</w:t>
      </w:r>
      <w:r w:rsidR="001F29BB">
        <w:rPr>
          <w:rFonts w:asciiTheme="minorHAnsi" w:hAnsiTheme="minorHAnsi" w:cstheme="minorHAnsi"/>
          <w:sz w:val="24"/>
          <w:szCs w:val="24"/>
          <w:lang w:val="ro-RO"/>
        </w:rPr>
        <w:t>”</w:t>
      </w:r>
    </w:p>
    <w:p w:rsidR="00E900DD" w:rsidRDefault="00E900DD" w:rsidP="00E900DD">
      <w:pPr>
        <w:spacing w:before="120" w:after="0" w:line="240" w:lineRule="auto"/>
        <w:jc w:val="both"/>
        <w:rPr>
          <w:rFonts w:asciiTheme="minorHAnsi" w:hAnsiTheme="minorHAnsi" w:cstheme="minorHAnsi"/>
          <w:sz w:val="24"/>
          <w:szCs w:val="24"/>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Numărul de ore de instruire a cursului:</w:t>
      </w:r>
      <w:r>
        <w:rPr>
          <w:rFonts w:asciiTheme="minorHAnsi" w:hAnsiTheme="minorHAnsi" w:cstheme="minorHAnsi"/>
          <w:lang w:val="ro-RO"/>
        </w:rPr>
        <w:t xml:space="preserve"> 8 ore</w:t>
      </w:r>
    </w:p>
    <w:p w:rsidR="00E900DD" w:rsidRDefault="00E900DD" w:rsidP="00E900DD">
      <w:pPr>
        <w:spacing w:before="120" w:after="0" w:line="240" w:lineRule="auto"/>
        <w:jc w:val="both"/>
        <w:rPr>
          <w:rFonts w:asciiTheme="minorHAnsi" w:hAnsiTheme="minorHAnsi" w:cstheme="minorHAnsi"/>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Participanţi</w:t>
      </w:r>
      <w:r w:rsidRPr="00E900DD">
        <w:rPr>
          <w:rFonts w:asciiTheme="minorHAnsi" w:hAnsiTheme="minorHAnsi" w:cstheme="minorHAnsi"/>
          <w:b/>
          <w:lang w:val="ro-RO"/>
        </w:rPr>
        <w:t>:</w:t>
      </w:r>
      <w:r>
        <w:rPr>
          <w:rFonts w:asciiTheme="minorHAnsi" w:hAnsiTheme="minorHAnsi" w:cstheme="minorHAnsi"/>
          <w:lang w:val="ro-RO"/>
        </w:rPr>
        <w:t xml:space="preserve"> judecători, procurori, alţi profesionişti din sectorul justiţiei</w:t>
      </w:r>
      <w:bookmarkStart w:id="0" w:name="_GoBack"/>
      <w:bookmarkEnd w:id="0"/>
    </w:p>
    <w:p w:rsidR="00E900DD" w:rsidRDefault="00E900DD" w:rsidP="00E900DD">
      <w:pPr>
        <w:spacing w:before="120" w:after="0" w:line="240" w:lineRule="auto"/>
        <w:jc w:val="both"/>
        <w:rPr>
          <w:rFonts w:asciiTheme="minorHAnsi" w:hAnsiTheme="minorHAnsi" w:cstheme="minorHAnsi"/>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 xml:space="preserve">Perioada activă a cursului: </w:t>
      </w:r>
      <w:r w:rsidR="001A14E3">
        <w:rPr>
          <w:rFonts w:asciiTheme="minorHAnsi" w:hAnsiTheme="minorHAnsi" w:cstheme="minorHAnsi"/>
          <w:color w:val="FF0000"/>
          <w:lang w:val="ro-RO"/>
        </w:rPr>
        <w:t>30.10.2014-14.11.2014</w:t>
      </w:r>
    </w:p>
    <w:p w:rsidR="00E900DD" w:rsidRDefault="00E900DD" w:rsidP="00E900DD">
      <w:pPr>
        <w:spacing w:before="120" w:after="0" w:line="240" w:lineRule="auto"/>
        <w:jc w:val="both"/>
        <w:rPr>
          <w:rFonts w:asciiTheme="minorHAnsi" w:hAnsiTheme="minorHAnsi" w:cstheme="minorHAnsi"/>
          <w:b/>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 xml:space="preserve">Echipamentul necesar cursantului: </w:t>
      </w:r>
      <w:r>
        <w:rPr>
          <w:rFonts w:asciiTheme="minorHAnsi" w:hAnsiTheme="minorHAnsi" w:cstheme="minorHAnsi"/>
          <w:lang w:val="ro-RO"/>
        </w:rPr>
        <w:t>computer (laptop, tabletă),</w:t>
      </w:r>
      <w:r>
        <w:rPr>
          <w:rFonts w:asciiTheme="minorHAnsi" w:hAnsiTheme="minorHAnsi" w:cstheme="minorHAnsi"/>
          <w:b/>
          <w:lang w:val="ro-RO"/>
        </w:rPr>
        <w:t xml:space="preserve"> </w:t>
      </w:r>
      <w:r>
        <w:rPr>
          <w:rFonts w:asciiTheme="minorHAnsi" w:hAnsiTheme="minorHAnsi" w:cstheme="minorHAnsi"/>
          <w:lang w:val="ro-RO"/>
        </w:rPr>
        <w:t>conexare la internet,</w:t>
      </w:r>
      <w:r w:rsidR="001F29BB">
        <w:rPr>
          <w:rFonts w:asciiTheme="minorHAnsi" w:hAnsiTheme="minorHAnsi" w:cstheme="minorHAnsi"/>
          <w:lang w:val="ro-RO"/>
        </w:rPr>
        <w:t xml:space="preserve"> Adobe Flash Player, casc</w:t>
      </w:r>
      <w:r>
        <w:rPr>
          <w:rFonts w:asciiTheme="minorHAnsi" w:hAnsiTheme="minorHAnsi" w:cstheme="minorHAnsi"/>
          <w:lang w:val="ro-RO"/>
        </w:rPr>
        <w:t>ă sau boxe (opţional)</w:t>
      </w:r>
    </w:p>
    <w:p w:rsidR="00E900DD" w:rsidRDefault="00E900DD" w:rsidP="00E900DD">
      <w:pPr>
        <w:spacing w:before="120" w:after="0" w:line="240" w:lineRule="auto"/>
        <w:jc w:val="both"/>
        <w:rPr>
          <w:rFonts w:asciiTheme="minorHAnsi" w:hAnsiTheme="minorHAnsi" w:cstheme="minorHAnsi"/>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Descrierea generală a cursului:</w:t>
      </w:r>
      <w:r>
        <w:rPr>
          <w:rFonts w:asciiTheme="minorHAnsi" w:hAnsiTheme="minorHAnsi" w:cstheme="minorHAnsi"/>
          <w:lang w:val="ro-RO"/>
        </w:rPr>
        <w:t xml:space="preserve"> Acest curs face parte dintr-un program de instruire la di</w:t>
      </w:r>
      <w:r w:rsidR="001F29BB">
        <w:rPr>
          <w:rFonts w:asciiTheme="minorHAnsi" w:hAnsiTheme="minorHAnsi" w:cstheme="minorHAnsi"/>
          <w:lang w:val="ro-RO"/>
        </w:rPr>
        <w:t xml:space="preserve">stanţă destinat procurorilor, </w:t>
      </w:r>
      <w:r>
        <w:rPr>
          <w:rFonts w:asciiTheme="minorHAnsi" w:hAnsiTheme="minorHAnsi" w:cstheme="minorHAnsi"/>
          <w:lang w:val="ro-RO"/>
        </w:rPr>
        <w:t>judecătorilor</w:t>
      </w:r>
      <w:r w:rsidR="001F29BB">
        <w:rPr>
          <w:rFonts w:asciiTheme="minorHAnsi" w:hAnsiTheme="minorHAnsi" w:cstheme="minorHAnsi"/>
          <w:lang w:val="ro-RO"/>
        </w:rPr>
        <w:t xml:space="preserve"> şi altor profesionişti din sectorul justiţiei</w:t>
      </w:r>
      <w:r>
        <w:rPr>
          <w:rFonts w:asciiTheme="minorHAnsi" w:hAnsiTheme="minorHAnsi" w:cstheme="minorHAnsi"/>
          <w:lang w:val="ro-RO"/>
        </w:rPr>
        <w:t xml:space="preserve">. Conceptul cursului reiese din analiza practicilor care la rândul său indică necesitatea suplinirii informației juridice cu informații din domeniul psihologiei judiciare, în particular fiind vorba despre psihologia victimelor traficului de ființe umane. </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Dacă conceptualizăm victima drept sursă valoroasă în obținerea probelor ignorând dreptul său de a fi protejată, s-ar putea să întâmpinăm dificultăți în motivarea acesteia de a colabora cu justiția, de a depune mărturii şi indirect de a o proteja de ulterioarele re-victimizări. Din această perspectivă protejarea drepturilor victimelor traficului de ființe umane necesită o bună înțelegere a realităților psihologice care le caracterizează.</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Înțelegerea particularităților psihologice a VTFU va permite construirea unor strategii eficiente de interacționare cu victima ținând cont de riscurile și necesitățile acesteia, astfel asigurând implicit și protejarea ei de la ulterioarele re-victimizări şi/sau re-traumatizări. </w:t>
      </w:r>
    </w:p>
    <w:p w:rsidR="00E900DD" w:rsidRDefault="00E900DD" w:rsidP="00E900DD">
      <w:pPr>
        <w:spacing w:before="120" w:after="0" w:line="240" w:lineRule="auto"/>
        <w:jc w:val="both"/>
        <w:rPr>
          <w:rFonts w:asciiTheme="minorHAnsi" w:hAnsiTheme="minorHAnsi" w:cstheme="minorHAnsi"/>
          <w:color w:val="222222"/>
          <w:lang w:val="ro-RO"/>
        </w:rPr>
      </w:pPr>
      <w:r>
        <w:rPr>
          <w:rFonts w:asciiTheme="minorHAnsi" w:hAnsiTheme="minorHAnsi" w:cstheme="minorHAnsi"/>
          <w:lang w:val="ro-RO"/>
        </w:rPr>
        <w:t xml:space="preserve">Sumarizând, dincolo de rolul său de sursă pentru obţinerea probelor victimele TFU sunt deținătoare de drepturi. Procurorul este bine </w:t>
      </w:r>
      <w:r>
        <w:rPr>
          <w:rFonts w:asciiTheme="minorHAnsi" w:hAnsiTheme="minorHAnsi" w:cstheme="minorHAnsi"/>
          <w:color w:val="222222"/>
          <w:lang w:val="ro-RO"/>
        </w:rPr>
        <w:t>să ţină cont de faptul că protejarea victimei de la ulterioarele retraumatizării este la fel de important ca şi atragerea la răspundere penală a traficantului.</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Pentru adresarea problematicii </w:t>
      </w:r>
      <w:r w:rsidR="001F29BB">
        <w:rPr>
          <w:rFonts w:asciiTheme="minorHAnsi" w:hAnsiTheme="minorHAnsi" w:cstheme="minorHAnsi"/>
          <w:lang w:val="ro-RO"/>
        </w:rPr>
        <w:t xml:space="preserve">legate de specificul psihologic şi particularităţile audierii victimelor traficului de fiinţe umane, </w:t>
      </w:r>
      <w:r>
        <w:rPr>
          <w:rFonts w:asciiTheme="minorHAnsi" w:hAnsiTheme="minorHAnsi" w:cstheme="minorHAnsi"/>
          <w:lang w:val="ro-RO"/>
        </w:rPr>
        <w:t>cursul este divizat în trei module, care urmează a fi parcurse pe durata a 8 ore. Primul modul defineşte şi descrie fenomenul traficului de persoane. Cel de-al doilea modul se va referi la protecţia victimei TFU, în sensul stabilirii unei relaţii eficiente cu aceasta, prevenirii situaţiilor de risc pentru victimă</w:t>
      </w:r>
      <w:r w:rsidR="001F29BB">
        <w:rPr>
          <w:rFonts w:asciiTheme="minorHAnsi" w:hAnsiTheme="minorHAnsi" w:cstheme="minorHAnsi"/>
          <w:lang w:val="ro-RO"/>
        </w:rPr>
        <w:t>,</w:t>
      </w:r>
      <w:r>
        <w:rPr>
          <w:rFonts w:asciiTheme="minorHAnsi" w:hAnsiTheme="minorHAnsi" w:cstheme="minorHAnsi"/>
          <w:lang w:val="ro-RO"/>
        </w:rPr>
        <w:t xml:space="preserve"> precum şi pregătirea victimei pentru participare în instanță. Al treilea modul introduce spre atenţia audienţilor setul de abilităţi necesare pentru conducerea unui interviu, în vederea obținerii mărturiilor veridice.</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Toate aspectele teoretice prezentate în acest curs de instruire la distanţă sunt exemplificate în baza studiilor de caz. </w:t>
      </w:r>
    </w:p>
    <w:p w:rsidR="00535D87" w:rsidRDefault="00535D87" w:rsidP="00535D87">
      <w:pPr>
        <w:spacing w:before="120" w:after="0" w:line="240" w:lineRule="auto"/>
        <w:jc w:val="both"/>
        <w:rPr>
          <w:rFonts w:asciiTheme="minorHAnsi" w:hAnsiTheme="minorHAnsi" w:cstheme="minorHAnsi"/>
          <w:b/>
          <w:lang w:val="ro-RO"/>
        </w:rPr>
      </w:pPr>
    </w:p>
    <w:p w:rsidR="00535D87" w:rsidRDefault="00535D87" w:rsidP="00535D87">
      <w:pPr>
        <w:spacing w:before="120" w:after="0" w:line="240" w:lineRule="auto"/>
        <w:jc w:val="both"/>
        <w:rPr>
          <w:rFonts w:asciiTheme="minorHAnsi" w:hAnsiTheme="minorHAnsi" w:cstheme="minorHAnsi"/>
          <w:lang w:val="ro-RO"/>
        </w:rPr>
      </w:pPr>
      <w:r>
        <w:rPr>
          <w:rFonts w:asciiTheme="minorHAnsi" w:hAnsiTheme="minorHAnsi" w:cstheme="minorHAnsi"/>
          <w:b/>
          <w:lang w:val="ro-RO"/>
        </w:rPr>
        <w:t>Descrierea modulelor:</w:t>
      </w:r>
      <w:r>
        <w:rPr>
          <w:rFonts w:asciiTheme="minorHAnsi" w:hAnsiTheme="minorHAnsi" w:cstheme="minorHAnsi"/>
          <w:lang w:val="ro-RO"/>
        </w:rPr>
        <w:t xml:space="preserve"> </w:t>
      </w:r>
    </w:p>
    <w:p w:rsidR="00535D87" w:rsidRDefault="00535D87" w:rsidP="00535D87">
      <w:pPr>
        <w:spacing w:before="120" w:after="0" w:line="240" w:lineRule="auto"/>
        <w:jc w:val="both"/>
        <w:rPr>
          <w:rFonts w:asciiTheme="minorHAnsi" w:hAnsiTheme="minorHAnsi" w:cstheme="minorHAnsi"/>
          <w:lang w:val="ro-RO"/>
        </w:rPr>
      </w:pPr>
    </w:p>
    <w:p w:rsidR="00535D87" w:rsidRDefault="00535D87" w:rsidP="00535D87">
      <w:pPr>
        <w:spacing w:before="120" w:after="0" w:line="240" w:lineRule="auto"/>
        <w:jc w:val="both"/>
        <w:rPr>
          <w:rFonts w:asciiTheme="minorHAnsi" w:hAnsiTheme="minorHAnsi" w:cstheme="minorHAnsi"/>
          <w:lang w:val="ro-RO"/>
        </w:rPr>
      </w:pPr>
      <w:r>
        <w:rPr>
          <w:rFonts w:asciiTheme="minorHAnsi" w:hAnsiTheme="minorHAnsi" w:cstheme="minorHAnsi"/>
          <w:b/>
          <w:i/>
          <w:lang w:val="ro-RO"/>
        </w:rPr>
        <w:t xml:space="preserve">Modulul I. Traficul de Persoane </w:t>
      </w:r>
      <w:r>
        <w:rPr>
          <w:rFonts w:asciiTheme="minorHAnsi" w:hAnsiTheme="minorHAnsi" w:cstheme="minorHAnsi"/>
          <w:lang w:val="ro-RO"/>
        </w:rPr>
        <w:t>Modulul îşi propune introducerea audienţilor în tematica traficului de fiinţe umane, accentul fiind pus pe profilul psiho-social al victimelor, etapele de manipulare prin care persoanele sunt implicate în trafic precum şi efectele traficului asupra victimelor.</w:t>
      </w:r>
    </w:p>
    <w:p w:rsidR="00535D87" w:rsidRDefault="00535D87" w:rsidP="00535D87">
      <w:pPr>
        <w:spacing w:before="120" w:after="0" w:line="240" w:lineRule="auto"/>
        <w:jc w:val="both"/>
        <w:rPr>
          <w:rFonts w:asciiTheme="minorHAnsi" w:hAnsiTheme="minorHAnsi" w:cstheme="minorHAnsi"/>
          <w:lang w:val="ro-RO"/>
        </w:rPr>
      </w:pPr>
      <w:r>
        <w:rPr>
          <w:rFonts w:asciiTheme="minorHAnsi" w:hAnsiTheme="minorHAnsi" w:cstheme="minorHAnsi"/>
          <w:lang w:val="ro-RO"/>
        </w:rPr>
        <w:t>În urma parcurgerii acestui modul participanții vor cunoaște despre:</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lastRenderedPageBreak/>
        <w:t>metodele de racolare, manipulare (recrutare, inițiere, îndoctrinare) a victimelor TFU,</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manifestările și riscurile asociate sindromului Stockholm,</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manifestările stresului post-traumatic,</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efectele stresului asupra capacității de reamintire și relaționare a VTFU </w:t>
      </w:r>
    </w:p>
    <w:p w:rsidR="00535D87" w:rsidRDefault="00535D87" w:rsidP="00535D87">
      <w:pPr>
        <w:spacing w:before="120" w:after="0" w:line="240" w:lineRule="auto"/>
        <w:jc w:val="both"/>
        <w:rPr>
          <w:rFonts w:asciiTheme="minorHAnsi" w:hAnsiTheme="minorHAnsi" w:cstheme="minorHAnsi"/>
          <w:lang w:val="ro-RO"/>
        </w:rPr>
      </w:pPr>
      <w:r>
        <w:rPr>
          <w:rFonts w:asciiTheme="minorHAnsi" w:hAnsiTheme="minorHAnsi" w:cstheme="minorHAnsi"/>
          <w:b/>
          <w:i/>
          <w:lang w:val="ro-RO"/>
        </w:rPr>
        <w:t>Modulul II.</w:t>
      </w:r>
      <w:r>
        <w:rPr>
          <w:rFonts w:asciiTheme="minorHAnsi" w:hAnsiTheme="minorHAnsi" w:cstheme="minorHAnsi"/>
          <w:i/>
          <w:lang w:val="ro-RO"/>
        </w:rPr>
        <w:t xml:space="preserve"> </w:t>
      </w:r>
      <w:r>
        <w:rPr>
          <w:rFonts w:asciiTheme="minorHAnsi" w:hAnsiTheme="minorHAnsi" w:cstheme="minorHAnsi"/>
          <w:b/>
          <w:i/>
          <w:lang w:val="ro-RO"/>
        </w:rPr>
        <w:t>Riscurile şi necesităţile VTFU</w:t>
      </w:r>
      <w:r>
        <w:rPr>
          <w:rFonts w:asciiTheme="minorHAnsi" w:hAnsiTheme="minorHAnsi" w:cstheme="minorHAnsi"/>
          <w:lang w:val="ro-RO"/>
        </w:rPr>
        <w:t xml:space="preserve"> Modulul prezintă conceptul de vulnerabilitate din perspectiva riscurilor şi necesităţilor persoanelor traficate. Înţelegerea necesităţilor şi prevenirea riscurilor la care este supusă VTFU pe durata procesului de urmărire penală sunt esenţiale în stabilirea relaţiei de încredere între specialist şi victimă. Stabilirea relaţiei de încredere la rândul său este centrală în obținerea unor mărturii veridice și asigurarea faptului că victima –martor nu se va retrage din proces.</w:t>
      </w:r>
    </w:p>
    <w:p w:rsidR="00535D87" w:rsidRDefault="00535D87" w:rsidP="00535D87">
      <w:pPr>
        <w:spacing w:before="120" w:after="0" w:line="240" w:lineRule="auto"/>
        <w:jc w:val="both"/>
        <w:rPr>
          <w:rFonts w:asciiTheme="minorHAnsi" w:hAnsiTheme="minorHAnsi" w:cstheme="minorHAnsi"/>
          <w:lang w:val="ro-RO"/>
        </w:rPr>
      </w:pPr>
      <w:r>
        <w:rPr>
          <w:rFonts w:asciiTheme="minorHAnsi" w:hAnsiTheme="minorHAnsi" w:cstheme="minorHAnsi"/>
          <w:lang w:val="ro-RO"/>
        </w:rPr>
        <w:t>În urma parcurgerii acestui modul participanții vor ști să:</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 evalueze riscurile și necesitățile victimei traficului de ființe umane și să cunoască organele competente pentru referirea victimelor</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identifice organele de stat, organizațiile neguvernamentale și cele internaționale cu competente in domeniul prevenirii TFU, precum și atribuțiile acestora</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deducă importanța stabilirii unui contact de încredere reciprocă cu victima</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aplice în practică realizarea dreptului victimei la siguranță cu excluderea revictimizării acesteia.</w:t>
      </w:r>
    </w:p>
    <w:p w:rsidR="00535D87" w:rsidRDefault="00535D87" w:rsidP="00535D87">
      <w:pPr>
        <w:spacing w:before="120" w:after="0" w:line="240" w:lineRule="auto"/>
        <w:jc w:val="both"/>
        <w:rPr>
          <w:rFonts w:asciiTheme="minorHAnsi" w:eastAsia="Times New Roman" w:hAnsiTheme="minorHAnsi" w:cstheme="minorHAnsi"/>
          <w:color w:val="000000"/>
          <w:lang w:val="ro-RO" w:eastAsia="ru-RU"/>
        </w:rPr>
      </w:pPr>
      <w:r>
        <w:rPr>
          <w:rFonts w:asciiTheme="minorHAnsi" w:hAnsiTheme="minorHAnsi" w:cstheme="minorHAnsi"/>
          <w:b/>
          <w:i/>
          <w:lang w:val="ro-RO"/>
        </w:rPr>
        <w:t>Modulul III. Abilităţi de audiere a VTFU</w:t>
      </w:r>
      <w:r>
        <w:rPr>
          <w:rFonts w:asciiTheme="minorHAnsi" w:hAnsiTheme="minorHAnsi" w:cstheme="minorHAnsi"/>
          <w:lang w:val="ro-RO"/>
        </w:rPr>
        <w:t xml:space="preserve"> </w:t>
      </w:r>
      <w:r>
        <w:rPr>
          <w:rFonts w:asciiTheme="minorHAnsi" w:eastAsia="Times New Roman" w:hAnsiTheme="minorHAnsi" w:cstheme="minorHAnsi"/>
          <w:color w:val="000000"/>
          <w:lang w:val="ro-RO" w:eastAsia="ru-RU"/>
        </w:rPr>
        <w:t>A avea o relație de încredere cu victima este important dar pe departe suficient pentru a ajuta victima să mărturisească toată experiența traumatizantă prin care a trecut. Astfel, abilitățile de audiere se prezintă a fi centrale în obținerea unor mărturii exacte. Abilităţile de audiere se referă la capacitatea intervievatorului de a ajuta victima să povestească cele întâmplate fără a interfera cu procesul de reactualizare a informaţiei. În cadrul acestui modul vor fi prezentate abilităţile de audiere necesare pentru conducerea unui interviu echilibrat</w:t>
      </w:r>
      <w:r w:rsidR="001F29BB">
        <w:rPr>
          <w:rFonts w:asciiTheme="minorHAnsi" w:eastAsia="Times New Roman" w:hAnsiTheme="minorHAnsi" w:cstheme="minorHAnsi"/>
          <w:color w:val="000000"/>
          <w:lang w:val="ro-RO" w:eastAsia="ru-RU"/>
        </w:rPr>
        <w:t>,</w:t>
      </w:r>
      <w:r>
        <w:rPr>
          <w:rFonts w:asciiTheme="minorHAnsi" w:eastAsia="Times New Roman" w:hAnsiTheme="minorHAnsi" w:cstheme="minorHAnsi"/>
          <w:color w:val="000000"/>
          <w:lang w:val="ro-RO" w:eastAsia="ru-RU"/>
        </w:rPr>
        <w:t xml:space="preserve"> cu</w:t>
      </w:r>
      <w:r w:rsidR="001F29BB">
        <w:rPr>
          <w:rFonts w:asciiTheme="minorHAnsi" w:eastAsia="Times New Roman" w:hAnsiTheme="minorHAnsi" w:cstheme="minorHAnsi"/>
          <w:color w:val="000000"/>
          <w:lang w:val="ro-RO" w:eastAsia="ru-RU"/>
        </w:rPr>
        <w:t xml:space="preserve"> un număr</w:t>
      </w:r>
      <w:r>
        <w:rPr>
          <w:rFonts w:asciiTheme="minorHAnsi" w:eastAsia="Times New Roman" w:hAnsiTheme="minorHAnsi" w:cstheme="minorHAnsi"/>
          <w:color w:val="000000"/>
          <w:lang w:val="ro-RO" w:eastAsia="ru-RU"/>
        </w:rPr>
        <w:t xml:space="preserve"> optim </w:t>
      </w:r>
      <w:r w:rsidR="001F29BB">
        <w:rPr>
          <w:rFonts w:asciiTheme="minorHAnsi" w:eastAsia="Times New Roman" w:hAnsiTheme="minorHAnsi" w:cstheme="minorHAnsi"/>
          <w:color w:val="000000"/>
          <w:lang w:val="ro-RO" w:eastAsia="ru-RU"/>
        </w:rPr>
        <w:t>de intervenţii</w:t>
      </w:r>
      <w:r>
        <w:rPr>
          <w:rFonts w:asciiTheme="minorHAnsi" w:eastAsia="Times New Roman" w:hAnsiTheme="minorHAnsi" w:cstheme="minorHAnsi"/>
          <w:color w:val="000000"/>
          <w:lang w:val="ro-RO" w:eastAsia="ru-RU"/>
        </w:rPr>
        <w:t xml:space="preserve"> din partea intervievatorului. Adăugător, înţelegerea psihologiei victimelor şi utilizarea abilităţilor avansate de audiere sunt esenţiale în asigurarea participării victimelor în procedurile legale cu minimum </w:t>
      </w:r>
      <w:r w:rsidR="001F29BB">
        <w:rPr>
          <w:rFonts w:asciiTheme="minorHAnsi" w:eastAsia="Times New Roman" w:hAnsiTheme="minorHAnsi" w:cstheme="minorHAnsi"/>
          <w:color w:val="000000"/>
          <w:lang w:val="ro-RO" w:eastAsia="ru-RU"/>
        </w:rPr>
        <w:t xml:space="preserve">de </w:t>
      </w:r>
      <w:r>
        <w:rPr>
          <w:rFonts w:asciiTheme="minorHAnsi" w:eastAsia="Times New Roman" w:hAnsiTheme="minorHAnsi" w:cstheme="minorHAnsi"/>
          <w:color w:val="000000"/>
          <w:lang w:val="ro-RO" w:eastAsia="ru-RU"/>
        </w:rPr>
        <w:t>circumstanţe traumatizante.</w:t>
      </w:r>
    </w:p>
    <w:p w:rsidR="00535D87" w:rsidRDefault="00535D87" w:rsidP="00535D87">
      <w:pPr>
        <w:spacing w:before="120" w:after="0" w:line="240" w:lineRule="auto"/>
        <w:jc w:val="both"/>
        <w:rPr>
          <w:rFonts w:asciiTheme="minorHAnsi" w:eastAsia="Times New Roman" w:hAnsiTheme="minorHAnsi" w:cstheme="minorHAnsi"/>
          <w:color w:val="000000"/>
          <w:lang w:val="ro-RO" w:eastAsia="ru-RU"/>
        </w:rPr>
      </w:pPr>
      <w:r>
        <w:rPr>
          <w:rFonts w:asciiTheme="minorHAnsi" w:eastAsia="Times New Roman" w:hAnsiTheme="minorHAnsi" w:cstheme="minorHAnsi"/>
          <w:color w:val="000000"/>
          <w:lang w:val="ro-RO" w:eastAsia="ru-RU"/>
        </w:rPr>
        <w:t>După parcurgerea acestui modul participanții vor ști să:</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identifice și diferențieze abilitățile eficiente de intervievare/ audiere a martorilor de cele mai puțin eficiente.</w:t>
      </w:r>
    </w:p>
    <w:p w:rsidR="00535D87" w:rsidRDefault="00535D87" w:rsidP="00535D87">
      <w:pPr>
        <w:pStyle w:val="Listparagraf"/>
        <w:numPr>
          <w:ilvl w:val="0"/>
          <w:numId w:val="1"/>
        </w:numPr>
        <w:spacing w:before="120" w:after="0" w:line="240" w:lineRule="auto"/>
        <w:jc w:val="both"/>
        <w:rPr>
          <w:rFonts w:asciiTheme="minorHAnsi" w:hAnsiTheme="minorHAnsi" w:cstheme="minorHAnsi"/>
          <w:lang w:val="ro-RO"/>
        </w:rPr>
      </w:pPr>
      <w:r>
        <w:rPr>
          <w:rFonts w:asciiTheme="minorHAnsi" w:hAnsiTheme="minorHAnsi" w:cstheme="minorHAnsi"/>
          <w:lang w:val="ro-RO"/>
        </w:rPr>
        <w:t>abordeze procesului de audiere a victimelor TFU într-o manieră profesionistă și sensibilă, ținând cont de particularitățile profilului psiho-social al VTFU</w:t>
      </w:r>
    </w:p>
    <w:p w:rsidR="00E900DD" w:rsidRDefault="00E900DD" w:rsidP="00E900DD">
      <w:pPr>
        <w:spacing w:before="120" w:after="0" w:line="240" w:lineRule="auto"/>
        <w:jc w:val="both"/>
        <w:rPr>
          <w:rFonts w:asciiTheme="minorHAnsi" w:hAnsiTheme="minorHAnsi" w:cstheme="minorHAnsi"/>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Modul de testare:</w:t>
      </w:r>
      <w:r>
        <w:rPr>
          <w:rFonts w:asciiTheme="minorHAnsi" w:hAnsiTheme="minorHAnsi" w:cstheme="minorHAnsi"/>
          <w:lang w:val="ro-RO"/>
        </w:rPr>
        <w:t xml:space="preserve"> La sfârșitul fiecărui modul, participanţii vor fi testaţi electronic. Pentru a </w:t>
      </w:r>
      <w:r w:rsidR="001F29BB">
        <w:rPr>
          <w:rFonts w:asciiTheme="minorHAnsi" w:hAnsiTheme="minorHAnsi" w:cstheme="minorHAnsi"/>
          <w:lang w:val="ro-RO"/>
        </w:rPr>
        <w:t>trece</w:t>
      </w:r>
      <w:r>
        <w:rPr>
          <w:rFonts w:asciiTheme="minorHAnsi" w:hAnsiTheme="minorHAnsi" w:cstheme="minorHAnsi"/>
          <w:lang w:val="ro-RO"/>
        </w:rPr>
        <w:t xml:space="preserve"> la un nou </w:t>
      </w:r>
      <w:r w:rsidR="001F29BB">
        <w:rPr>
          <w:rFonts w:asciiTheme="minorHAnsi" w:hAnsiTheme="minorHAnsi" w:cstheme="minorHAnsi"/>
          <w:lang w:val="ro-RO"/>
        </w:rPr>
        <w:t xml:space="preserve">capitol de studiu este necesară </w:t>
      </w:r>
      <w:r>
        <w:rPr>
          <w:rFonts w:asciiTheme="minorHAnsi" w:hAnsiTheme="minorHAnsi" w:cstheme="minorHAnsi"/>
          <w:lang w:val="ro-RO"/>
        </w:rPr>
        <w:t xml:space="preserve"> susţine</w:t>
      </w:r>
      <w:r w:rsidR="001F29BB">
        <w:rPr>
          <w:rFonts w:asciiTheme="minorHAnsi" w:hAnsiTheme="minorHAnsi" w:cstheme="minorHAnsi"/>
          <w:lang w:val="ro-RO"/>
        </w:rPr>
        <w:t>rea</w:t>
      </w:r>
      <w:r>
        <w:rPr>
          <w:rFonts w:asciiTheme="minorHAnsi" w:hAnsiTheme="minorHAnsi" w:cstheme="minorHAnsi"/>
          <w:lang w:val="ro-RO"/>
        </w:rPr>
        <w:t xml:space="preserve"> testul</w:t>
      </w:r>
      <w:r w:rsidR="001F29BB">
        <w:rPr>
          <w:rFonts w:asciiTheme="minorHAnsi" w:hAnsiTheme="minorHAnsi" w:cstheme="minorHAnsi"/>
          <w:lang w:val="ro-RO"/>
        </w:rPr>
        <w:t>ui</w:t>
      </w:r>
      <w:r w:rsidR="00535D87">
        <w:rPr>
          <w:rFonts w:asciiTheme="minorHAnsi" w:hAnsiTheme="minorHAnsi" w:cstheme="minorHAnsi"/>
          <w:lang w:val="ro-RO"/>
        </w:rPr>
        <w:t xml:space="preserve"> propus cu punctaj minim </w:t>
      </w:r>
      <w:r w:rsidR="001F29BB">
        <w:rPr>
          <w:rFonts w:asciiTheme="minorHAnsi" w:hAnsiTheme="minorHAnsi" w:cstheme="minorHAnsi"/>
          <w:lang w:val="ro-RO"/>
        </w:rPr>
        <w:t>cumulat de 75%. N</w:t>
      </w:r>
      <w:r>
        <w:rPr>
          <w:rFonts w:asciiTheme="minorHAnsi" w:hAnsiTheme="minorHAnsi" w:cstheme="minorHAnsi"/>
          <w:lang w:val="ro-RO"/>
        </w:rPr>
        <w:t xml:space="preserve">umărul de încercări </w:t>
      </w:r>
      <w:r w:rsidR="00535D87">
        <w:rPr>
          <w:rFonts w:asciiTheme="minorHAnsi" w:hAnsiTheme="minorHAnsi" w:cstheme="minorHAnsi"/>
          <w:lang w:val="ro-RO"/>
        </w:rPr>
        <w:t>este nelimitat.</w:t>
      </w:r>
    </w:p>
    <w:p w:rsidR="00E900DD" w:rsidRDefault="00E900DD" w:rsidP="00E900DD">
      <w:pPr>
        <w:spacing w:before="120" w:after="0" w:line="240" w:lineRule="auto"/>
        <w:jc w:val="both"/>
        <w:rPr>
          <w:rFonts w:asciiTheme="minorHAnsi" w:hAnsiTheme="minorHAnsi" w:cstheme="minorHAnsi"/>
          <w:b/>
          <w:lang w:val="ro-RO"/>
        </w:rPr>
      </w:pP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b/>
          <w:lang w:val="ro-RO"/>
        </w:rPr>
        <w:t xml:space="preserve">Certificare: </w:t>
      </w:r>
      <w:r>
        <w:rPr>
          <w:rFonts w:asciiTheme="minorHAnsi" w:hAnsiTheme="minorHAnsi" w:cstheme="minorHAnsi"/>
          <w:lang w:val="ro-RO"/>
        </w:rPr>
        <w:t xml:space="preserve">Certificarea se </w:t>
      </w:r>
      <w:r w:rsidR="001F29BB">
        <w:rPr>
          <w:rFonts w:asciiTheme="minorHAnsi" w:hAnsiTheme="minorHAnsi" w:cstheme="minorHAnsi"/>
          <w:lang w:val="ro-RO"/>
        </w:rPr>
        <w:t>realizează de către INJ</w:t>
      </w:r>
      <w:r>
        <w:rPr>
          <w:rFonts w:asciiTheme="minorHAnsi" w:hAnsiTheme="minorHAnsi" w:cstheme="minorHAnsi"/>
          <w:lang w:val="ro-RO"/>
        </w:rPr>
        <w:t xml:space="preserve"> în urma completării reuşite a chestionarelor </w:t>
      </w:r>
      <w:r w:rsidR="001F29BB">
        <w:rPr>
          <w:rFonts w:asciiTheme="minorHAnsi" w:hAnsiTheme="minorHAnsi" w:cstheme="minorHAnsi"/>
          <w:lang w:val="ro-RO"/>
        </w:rPr>
        <w:t>prevăzute în cadrul cursului. INJ</w:t>
      </w:r>
      <w:r>
        <w:rPr>
          <w:rFonts w:asciiTheme="minorHAnsi" w:hAnsiTheme="minorHAnsi" w:cstheme="minorHAnsi"/>
          <w:lang w:val="ro-RO"/>
        </w:rPr>
        <w:t xml:space="preserve"> eliberează un certificat de instruire continuă pentru 8 ore de instruire.</w:t>
      </w:r>
    </w:p>
    <w:p w:rsidR="00E900DD" w:rsidRDefault="00E900DD" w:rsidP="00E900DD">
      <w:pPr>
        <w:spacing w:before="120" w:after="0" w:line="240" w:lineRule="auto"/>
        <w:jc w:val="both"/>
        <w:rPr>
          <w:rFonts w:asciiTheme="minorHAnsi" w:hAnsiTheme="minorHAnsi" w:cstheme="minorHAnsi"/>
          <w:b/>
          <w:lang w:val="ro-RO"/>
        </w:rPr>
      </w:pPr>
    </w:p>
    <w:p w:rsidR="00E900DD" w:rsidRDefault="001F29BB" w:rsidP="00E900DD">
      <w:pPr>
        <w:spacing w:before="120" w:after="0" w:line="240" w:lineRule="auto"/>
        <w:jc w:val="both"/>
        <w:rPr>
          <w:rFonts w:asciiTheme="minorHAnsi" w:hAnsiTheme="minorHAnsi" w:cstheme="minorHAnsi"/>
          <w:b/>
          <w:lang w:val="ro-RO"/>
        </w:rPr>
      </w:pPr>
      <w:r>
        <w:rPr>
          <w:rFonts w:asciiTheme="minorHAnsi" w:hAnsiTheme="minorHAnsi" w:cstheme="minorHAnsi"/>
          <w:b/>
          <w:lang w:val="ro-RO"/>
        </w:rPr>
        <w:t>Informaţie despre formatorul autor al cursului</w:t>
      </w:r>
      <w:r w:rsidR="00E900DD">
        <w:rPr>
          <w:rFonts w:asciiTheme="minorHAnsi" w:hAnsiTheme="minorHAnsi" w:cstheme="minorHAnsi"/>
          <w:b/>
          <w:lang w:val="ro-RO"/>
        </w:rPr>
        <w:t>:</w:t>
      </w:r>
    </w:p>
    <w:p w:rsidR="00E900DD" w:rsidRDefault="00E900DD" w:rsidP="00E900DD">
      <w:pPr>
        <w:spacing w:before="120" w:after="0" w:line="240" w:lineRule="auto"/>
        <w:jc w:val="both"/>
        <w:rPr>
          <w:rFonts w:asciiTheme="minorHAnsi" w:hAnsiTheme="minorHAnsi" w:cstheme="minorHAnsi"/>
          <w:lang w:val="ro-RO"/>
        </w:rPr>
      </w:pPr>
      <w:r w:rsidRPr="00E900DD">
        <w:rPr>
          <w:rFonts w:asciiTheme="minorHAnsi" w:hAnsiTheme="minorHAnsi" w:cstheme="minorHAnsi"/>
          <w:lang w:val="ro-RO"/>
        </w:rPr>
        <w:t>Tatiana Buianina,</w:t>
      </w:r>
      <w:r>
        <w:rPr>
          <w:rFonts w:asciiTheme="minorHAnsi" w:hAnsiTheme="minorHAnsi" w:cstheme="minorHAnsi"/>
          <w:b/>
          <w:lang w:val="ro-RO"/>
        </w:rPr>
        <w:t xml:space="preserve"> </w:t>
      </w:r>
      <w:r>
        <w:rPr>
          <w:rFonts w:asciiTheme="minorHAnsi" w:hAnsiTheme="minorHAnsi" w:cstheme="minorHAnsi"/>
          <w:lang w:val="ro-RO"/>
        </w:rPr>
        <w:t xml:space="preserve">psiholog, Membru al Asociației Psihologilor Practicieni din Republica Moldova. </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Studii:</w:t>
      </w:r>
    </w:p>
    <w:p w:rsidR="00E900DD" w:rsidRDefault="00E900DD" w:rsidP="00E900DD">
      <w:pPr>
        <w:pStyle w:val="Listparagraf"/>
        <w:numPr>
          <w:ilvl w:val="0"/>
          <w:numId w:val="2"/>
        </w:numPr>
        <w:spacing w:before="120" w:after="0" w:line="240" w:lineRule="auto"/>
        <w:jc w:val="both"/>
        <w:rPr>
          <w:rFonts w:asciiTheme="minorHAnsi" w:hAnsiTheme="minorHAnsi" w:cstheme="minorHAnsi"/>
          <w:lang w:val="ro-RO"/>
        </w:rPr>
      </w:pPr>
      <w:r>
        <w:rPr>
          <w:rFonts w:asciiTheme="minorHAnsi" w:hAnsiTheme="minorHAnsi" w:cstheme="minorHAnsi"/>
          <w:lang w:val="ro-RO"/>
        </w:rPr>
        <w:t>Absolventă a Facultăţii de Psihologie şi Ştiinţe ale Educaţiei, Universitatea Babeş-Bolyai, Cluj-Napoca, România (2000),</w:t>
      </w:r>
    </w:p>
    <w:p w:rsidR="00E900DD" w:rsidRDefault="00E900DD" w:rsidP="00E900DD">
      <w:pPr>
        <w:pStyle w:val="Listparagraf"/>
        <w:numPr>
          <w:ilvl w:val="0"/>
          <w:numId w:val="2"/>
        </w:numPr>
        <w:spacing w:before="120" w:after="0" w:line="240" w:lineRule="auto"/>
        <w:jc w:val="both"/>
        <w:rPr>
          <w:rFonts w:asciiTheme="minorHAnsi" w:hAnsiTheme="minorHAnsi" w:cstheme="minorHAnsi"/>
          <w:lang w:val="ro-RO"/>
        </w:rPr>
      </w:pPr>
      <w:r>
        <w:rPr>
          <w:rFonts w:asciiTheme="minorHAnsi" w:hAnsiTheme="minorHAnsi" w:cstheme="minorHAnsi"/>
          <w:lang w:val="ro-RO"/>
        </w:rPr>
        <w:t>Absolventă a programului de Masterat, specialitatea Psihologie şi psihopedagogie (2001), la Universitatea de Stat din Moldova,</w:t>
      </w:r>
    </w:p>
    <w:p w:rsidR="00E900DD" w:rsidRDefault="00E900DD" w:rsidP="00E900DD">
      <w:pPr>
        <w:pStyle w:val="Listparagraf"/>
        <w:numPr>
          <w:ilvl w:val="0"/>
          <w:numId w:val="2"/>
        </w:num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Stagiar, cercetător, Facultatea de Psihologie şi Ştiinţe Comportamentale, Universitatea </w:t>
      </w:r>
      <w:r w:rsidRPr="00535D87">
        <w:rPr>
          <w:rFonts w:asciiTheme="minorHAnsi" w:hAnsiTheme="minorHAnsi" w:cstheme="minorHAnsi"/>
          <w:bCs/>
          <w:color w:val="000000"/>
          <w:shd w:val="clear" w:color="auto" w:fill="FFFFFF"/>
          <w:lang w:val="ro-RO"/>
        </w:rPr>
        <w:t>Umeå</w:t>
      </w:r>
      <w:r w:rsidRPr="00535D87">
        <w:rPr>
          <w:rFonts w:asciiTheme="minorHAnsi" w:hAnsiTheme="minorHAnsi" w:cstheme="minorHAnsi"/>
          <w:lang w:val="ro-RO"/>
        </w:rPr>
        <w:t>,</w:t>
      </w:r>
      <w:r>
        <w:rPr>
          <w:rFonts w:asciiTheme="minorHAnsi" w:hAnsiTheme="minorHAnsi" w:cstheme="minorHAnsi"/>
          <w:lang w:val="ro-RO"/>
        </w:rPr>
        <w:t xml:space="preserve"> Suedia</w:t>
      </w:r>
      <w:r w:rsidR="00535D87">
        <w:rPr>
          <w:rFonts w:asciiTheme="minorHAnsi" w:hAnsiTheme="minorHAnsi" w:cstheme="minorHAnsi"/>
          <w:lang w:val="ro-RO"/>
        </w:rPr>
        <w:t>.</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lastRenderedPageBreak/>
        <w:t>Servicii curente:</w:t>
      </w:r>
    </w:p>
    <w:p w:rsidR="00E900DD" w:rsidRDefault="00E900DD" w:rsidP="00E900DD">
      <w:pPr>
        <w:pStyle w:val="Listparagraf"/>
        <w:numPr>
          <w:ilvl w:val="0"/>
          <w:numId w:val="3"/>
        </w:numPr>
        <w:spacing w:before="120" w:after="0" w:line="240" w:lineRule="auto"/>
        <w:jc w:val="both"/>
        <w:rPr>
          <w:rFonts w:asciiTheme="minorHAnsi" w:hAnsiTheme="minorHAnsi" w:cstheme="minorHAnsi"/>
          <w:lang w:val="ro-RO"/>
        </w:rPr>
      </w:pPr>
      <w:r>
        <w:rPr>
          <w:rFonts w:asciiTheme="minorHAnsi" w:hAnsiTheme="minorHAnsi" w:cstheme="minorHAnsi"/>
          <w:lang w:val="ro-RO"/>
        </w:rPr>
        <w:t>Lector la Universitatea de Stat din Moldova, Catedra de Psihologie Generală, Facultatea de Psihologie şi Ştiinţe ale Educaţiei (din 2000 până în prezent)</w:t>
      </w:r>
    </w:p>
    <w:p w:rsidR="00E900DD" w:rsidRPr="00E900DD" w:rsidRDefault="00E900DD" w:rsidP="00E900DD">
      <w:pPr>
        <w:pStyle w:val="Listparagraf"/>
        <w:numPr>
          <w:ilvl w:val="0"/>
          <w:numId w:val="3"/>
        </w:numPr>
        <w:spacing w:before="120" w:after="0" w:line="240" w:lineRule="auto"/>
        <w:jc w:val="both"/>
        <w:rPr>
          <w:rFonts w:asciiTheme="minorHAnsi" w:hAnsiTheme="minorHAnsi" w:cstheme="minorHAnsi"/>
          <w:lang w:val="ro-RO"/>
        </w:rPr>
      </w:pPr>
      <w:r>
        <w:rPr>
          <w:rFonts w:asciiTheme="minorHAnsi" w:hAnsiTheme="minorHAnsi" w:cstheme="minorHAnsi"/>
          <w:lang w:val="ro-RO"/>
        </w:rPr>
        <w:t>Psiholog şi managerul Centrului de Contact din cadrul Centrului Internaţional „La Strada” (din 2011 până în prezent)</w:t>
      </w:r>
    </w:p>
    <w:p w:rsidR="00E900DD" w:rsidRPr="00E900DD" w:rsidRDefault="00E900DD" w:rsidP="00E900DD">
      <w:pPr>
        <w:spacing w:before="120" w:after="0" w:line="240" w:lineRule="auto"/>
        <w:jc w:val="both"/>
        <w:rPr>
          <w:rFonts w:asciiTheme="minorHAnsi" w:hAnsiTheme="minorHAnsi" w:cstheme="minorHAnsi"/>
          <w:lang w:val="ro-RO"/>
        </w:rPr>
      </w:pPr>
      <w:r w:rsidRPr="00E900DD">
        <w:rPr>
          <w:rFonts w:asciiTheme="minorHAnsi" w:hAnsiTheme="minorHAnsi" w:cstheme="minorHAnsi"/>
          <w:lang w:val="ro-RO"/>
        </w:rPr>
        <w:t>Datele de contact ale formatorului:</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Tatiana Buianina</w:t>
      </w:r>
    </w:p>
    <w:p w:rsidR="00E900DD" w:rsidRDefault="00E900DD" w:rsidP="00E900DD">
      <w:pPr>
        <w:spacing w:before="120" w:after="0" w:line="240" w:lineRule="auto"/>
        <w:jc w:val="both"/>
        <w:rPr>
          <w:rFonts w:asciiTheme="minorHAnsi" w:hAnsiTheme="minorHAnsi" w:cstheme="minorHAnsi"/>
          <w:lang w:val="ro-RO"/>
        </w:rPr>
      </w:pPr>
      <w:r>
        <w:rPr>
          <w:rFonts w:asciiTheme="minorHAnsi" w:hAnsiTheme="minorHAnsi" w:cstheme="minorHAnsi"/>
          <w:lang w:val="ro-RO"/>
        </w:rPr>
        <w:t xml:space="preserve">e-mail: </w:t>
      </w:r>
      <w:r w:rsidRPr="00601D3A">
        <w:rPr>
          <w:rFonts w:asciiTheme="minorHAnsi" w:hAnsiTheme="minorHAnsi" w:cstheme="minorHAnsi"/>
          <w:lang w:val="ro-RO"/>
        </w:rPr>
        <w:t>buyaninat@yahoo.com</w:t>
      </w:r>
      <w:r w:rsidR="00601D3A">
        <w:rPr>
          <w:rStyle w:val="Hyperlink"/>
          <w:rFonts w:asciiTheme="minorHAnsi" w:hAnsiTheme="minorHAnsi" w:cstheme="minorHAnsi"/>
          <w:lang w:val="ro-RO"/>
        </w:rPr>
        <w:t xml:space="preserve">  </w:t>
      </w:r>
    </w:p>
    <w:p w:rsidR="00E900DD" w:rsidRDefault="00E900DD" w:rsidP="00E900DD">
      <w:pPr>
        <w:spacing w:before="120" w:after="0" w:line="240" w:lineRule="auto"/>
        <w:jc w:val="both"/>
        <w:rPr>
          <w:rFonts w:asciiTheme="minorHAnsi" w:hAnsiTheme="minorHAnsi" w:cstheme="minorHAnsi"/>
          <w:b/>
          <w:lang w:val="ro-RO"/>
        </w:rPr>
      </w:pPr>
      <w:r>
        <w:rPr>
          <w:rFonts w:asciiTheme="minorHAnsi" w:hAnsiTheme="minorHAnsi" w:cstheme="minorHAnsi"/>
          <w:b/>
          <w:lang w:val="ro-RO"/>
        </w:rPr>
        <w:t>Asistenţă tehnică:</w:t>
      </w:r>
    </w:p>
    <w:p w:rsidR="00E900DD" w:rsidRDefault="00E900DD" w:rsidP="00E900DD">
      <w:pPr>
        <w:spacing w:before="120" w:after="0" w:line="240" w:lineRule="auto"/>
        <w:rPr>
          <w:rFonts w:asciiTheme="minorHAnsi" w:hAnsiTheme="minorHAnsi" w:cstheme="minorHAnsi"/>
          <w:lang w:val="ro-RO"/>
        </w:rPr>
      </w:pPr>
      <w:r>
        <w:rPr>
          <w:rFonts w:asciiTheme="minorHAnsi" w:hAnsiTheme="minorHAnsi" w:cstheme="minorHAnsi"/>
          <w:lang w:val="ro-RO"/>
        </w:rPr>
        <w:t>tel/fax 022 930124</w:t>
      </w:r>
    </w:p>
    <w:p w:rsidR="00601D3A" w:rsidRDefault="00E900DD" w:rsidP="00601D3A">
      <w:pPr>
        <w:spacing w:after="0"/>
        <w:rPr>
          <w:rStyle w:val="Hyperlink"/>
          <w:rFonts w:asciiTheme="minorHAnsi" w:hAnsiTheme="minorHAnsi" w:cstheme="minorHAnsi"/>
          <w:lang w:val="en-US"/>
        </w:rPr>
      </w:pPr>
      <w:r>
        <w:rPr>
          <w:rFonts w:asciiTheme="minorHAnsi" w:hAnsiTheme="minorHAnsi" w:cstheme="minorHAnsi"/>
          <w:lang w:val="ro-RO"/>
        </w:rPr>
        <w:t xml:space="preserve">e-mail: </w:t>
      </w:r>
      <w:r w:rsidRPr="00601D3A">
        <w:rPr>
          <w:rFonts w:asciiTheme="minorHAnsi" w:hAnsiTheme="minorHAnsi" w:cstheme="minorHAnsi"/>
          <w:lang w:val="ro-RO"/>
        </w:rPr>
        <w:t>tatiana</w:t>
      </w:r>
      <w:r w:rsidRPr="00601D3A">
        <w:rPr>
          <w:rFonts w:asciiTheme="minorHAnsi" w:hAnsiTheme="minorHAnsi" w:cstheme="minorHAnsi"/>
          <w:lang w:val="en-US"/>
        </w:rPr>
        <w:t>.ciaglic@inj.gov.md</w:t>
      </w:r>
    </w:p>
    <w:p w:rsidR="00601D3A" w:rsidRPr="00601D3A" w:rsidRDefault="00601D3A" w:rsidP="00601D3A">
      <w:pPr>
        <w:spacing w:after="0" w:line="240" w:lineRule="auto"/>
        <w:jc w:val="both"/>
        <w:rPr>
          <w:rFonts w:asciiTheme="minorHAnsi" w:hAnsiTheme="minorHAnsi" w:cstheme="minorHAnsi"/>
          <w:lang w:val="ro-RO"/>
        </w:rPr>
      </w:pPr>
      <w:r w:rsidRPr="00601D3A">
        <w:rPr>
          <w:rFonts w:asciiTheme="minorHAnsi" w:hAnsiTheme="minorHAnsi" w:cstheme="minorHAnsi"/>
          <w:lang w:val="en-US"/>
        </w:rPr>
        <w:t xml:space="preserve">    </w:t>
      </w:r>
      <w:r>
        <w:rPr>
          <w:rFonts w:asciiTheme="minorHAnsi" w:hAnsiTheme="minorHAnsi" w:cstheme="minorHAnsi"/>
          <w:lang w:val="en-US"/>
        </w:rPr>
        <w:t xml:space="preserve"> </w:t>
      </w:r>
      <w:r w:rsidRPr="00601D3A">
        <w:rPr>
          <w:rFonts w:asciiTheme="minorHAnsi" w:hAnsiTheme="minorHAnsi" w:cstheme="minorHAnsi"/>
          <w:lang w:val="en-US"/>
        </w:rPr>
        <w:t xml:space="preserve">        </w:t>
      </w:r>
      <w:r w:rsidRPr="00601D3A">
        <w:rPr>
          <w:rFonts w:asciiTheme="minorHAnsi" w:hAnsiTheme="minorHAnsi" w:cstheme="minorHAnsi"/>
          <w:lang w:val="ro-RO"/>
        </w:rPr>
        <w:t>sergiu.pivovarcic@gmail.com</w:t>
      </w:r>
    </w:p>
    <w:p w:rsidR="00601D3A" w:rsidRDefault="00601D3A" w:rsidP="00601D3A">
      <w:pPr>
        <w:spacing w:after="0"/>
        <w:rPr>
          <w:rStyle w:val="Hyperlink"/>
          <w:rFonts w:asciiTheme="minorHAnsi" w:hAnsiTheme="minorHAnsi" w:cstheme="minorHAnsi"/>
          <w:lang w:val="en-US"/>
        </w:rPr>
      </w:pPr>
    </w:p>
    <w:p w:rsidR="00601D3A" w:rsidRDefault="00601D3A" w:rsidP="00E900DD"/>
    <w:sectPr w:rsidR="00601D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AE" w:rsidRDefault="002D49AE" w:rsidP="00535D87">
      <w:pPr>
        <w:spacing w:after="0" w:line="240" w:lineRule="auto"/>
      </w:pPr>
      <w:r>
        <w:separator/>
      </w:r>
    </w:p>
  </w:endnote>
  <w:endnote w:type="continuationSeparator" w:id="0">
    <w:p w:rsidR="002D49AE" w:rsidRDefault="002D49AE" w:rsidP="0053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42328"/>
      <w:docPartObj>
        <w:docPartGallery w:val="Page Numbers (Bottom of Page)"/>
        <w:docPartUnique/>
      </w:docPartObj>
    </w:sdtPr>
    <w:sdtEndPr/>
    <w:sdtContent>
      <w:p w:rsidR="00535D87" w:rsidRDefault="00535D87">
        <w:pPr>
          <w:pStyle w:val="Subsol"/>
          <w:jc w:val="right"/>
        </w:pPr>
        <w:r>
          <w:fldChar w:fldCharType="begin"/>
        </w:r>
        <w:r>
          <w:instrText>PAGE   \* MERGEFORMAT</w:instrText>
        </w:r>
        <w:r>
          <w:fldChar w:fldCharType="separate"/>
        </w:r>
        <w:r w:rsidR="001A14E3" w:rsidRPr="001A14E3">
          <w:rPr>
            <w:noProof/>
            <w:lang w:val="ro-RO"/>
          </w:rPr>
          <w:t>1</w:t>
        </w:r>
        <w:r>
          <w:fldChar w:fldCharType="end"/>
        </w:r>
      </w:p>
    </w:sdtContent>
  </w:sdt>
  <w:p w:rsidR="00535D87" w:rsidRDefault="00535D8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AE" w:rsidRDefault="002D49AE" w:rsidP="00535D87">
      <w:pPr>
        <w:spacing w:after="0" w:line="240" w:lineRule="auto"/>
      </w:pPr>
      <w:r>
        <w:separator/>
      </w:r>
    </w:p>
  </w:footnote>
  <w:footnote w:type="continuationSeparator" w:id="0">
    <w:p w:rsidR="002D49AE" w:rsidRDefault="002D49AE" w:rsidP="00535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2A0"/>
    <w:multiLevelType w:val="hybridMultilevel"/>
    <w:tmpl w:val="30B4AE14"/>
    <w:lvl w:ilvl="0" w:tplc="91FC09DA">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0148A8"/>
    <w:multiLevelType w:val="hybridMultilevel"/>
    <w:tmpl w:val="2A986B94"/>
    <w:lvl w:ilvl="0" w:tplc="AA8E86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F4B4F71"/>
    <w:multiLevelType w:val="hybridMultilevel"/>
    <w:tmpl w:val="C1FA4F4C"/>
    <w:lvl w:ilvl="0" w:tplc="AA8E86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A2"/>
    <w:rsid w:val="000134C1"/>
    <w:rsid w:val="001121A3"/>
    <w:rsid w:val="001A14E3"/>
    <w:rsid w:val="001F29BB"/>
    <w:rsid w:val="0020608C"/>
    <w:rsid w:val="00256F0E"/>
    <w:rsid w:val="002D49AE"/>
    <w:rsid w:val="00535D87"/>
    <w:rsid w:val="005B67EC"/>
    <w:rsid w:val="005C50D2"/>
    <w:rsid w:val="00601D3A"/>
    <w:rsid w:val="00630D97"/>
    <w:rsid w:val="0069421B"/>
    <w:rsid w:val="007306CA"/>
    <w:rsid w:val="00760AC0"/>
    <w:rsid w:val="007659E4"/>
    <w:rsid w:val="009670A2"/>
    <w:rsid w:val="009D445C"/>
    <w:rsid w:val="00D40DF1"/>
    <w:rsid w:val="00DA65C7"/>
    <w:rsid w:val="00DB7E59"/>
    <w:rsid w:val="00E900DD"/>
    <w:rsid w:val="00EE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DD"/>
    <w:rPr>
      <w:rFonts w:ascii="Calibri" w:eastAsia="Calibri" w:hAnsi="Calibri" w:cs="Times New Roman"/>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900DD"/>
    <w:rPr>
      <w:color w:val="0000FF"/>
      <w:u w:val="single"/>
    </w:rPr>
  </w:style>
  <w:style w:type="paragraph" w:styleId="Listparagraf">
    <w:name w:val="List Paragraph"/>
    <w:basedOn w:val="Normal"/>
    <w:uiPriority w:val="99"/>
    <w:qFormat/>
    <w:rsid w:val="00E900DD"/>
    <w:pPr>
      <w:ind w:left="720"/>
      <w:contextualSpacing/>
    </w:pPr>
  </w:style>
  <w:style w:type="paragraph" w:styleId="Antet">
    <w:name w:val="header"/>
    <w:basedOn w:val="Normal"/>
    <w:link w:val="AntetCaracter"/>
    <w:uiPriority w:val="99"/>
    <w:unhideWhenUsed/>
    <w:rsid w:val="00535D87"/>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35D87"/>
    <w:rPr>
      <w:rFonts w:ascii="Calibri" w:eastAsia="Calibri" w:hAnsi="Calibri" w:cs="Times New Roman"/>
      <w:lang w:val="en-AU"/>
    </w:rPr>
  </w:style>
  <w:style w:type="paragraph" w:styleId="Subsol">
    <w:name w:val="footer"/>
    <w:basedOn w:val="Normal"/>
    <w:link w:val="SubsolCaracter"/>
    <w:uiPriority w:val="99"/>
    <w:unhideWhenUsed/>
    <w:rsid w:val="00535D87"/>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35D87"/>
    <w:rPr>
      <w:rFonts w:ascii="Calibri" w:eastAsia="Calibri" w:hAnsi="Calibri" w:cs="Times New Roman"/>
      <w:lang w:val="en-AU"/>
    </w:rPr>
  </w:style>
  <w:style w:type="paragraph" w:styleId="TextnBalon">
    <w:name w:val="Balloon Text"/>
    <w:basedOn w:val="Normal"/>
    <w:link w:val="TextnBalonCaracter"/>
    <w:uiPriority w:val="99"/>
    <w:semiHidden/>
    <w:unhideWhenUsed/>
    <w:rsid w:val="00601D3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01D3A"/>
    <w:rPr>
      <w:rFonts w:ascii="Tahoma" w:eastAsia="Calibri"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DD"/>
    <w:rPr>
      <w:rFonts w:ascii="Calibri" w:eastAsia="Calibri" w:hAnsi="Calibri" w:cs="Times New Roman"/>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900DD"/>
    <w:rPr>
      <w:color w:val="0000FF"/>
      <w:u w:val="single"/>
    </w:rPr>
  </w:style>
  <w:style w:type="paragraph" w:styleId="Listparagraf">
    <w:name w:val="List Paragraph"/>
    <w:basedOn w:val="Normal"/>
    <w:uiPriority w:val="99"/>
    <w:qFormat/>
    <w:rsid w:val="00E900DD"/>
    <w:pPr>
      <w:ind w:left="720"/>
      <w:contextualSpacing/>
    </w:pPr>
  </w:style>
  <w:style w:type="paragraph" w:styleId="Antet">
    <w:name w:val="header"/>
    <w:basedOn w:val="Normal"/>
    <w:link w:val="AntetCaracter"/>
    <w:uiPriority w:val="99"/>
    <w:unhideWhenUsed/>
    <w:rsid w:val="00535D87"/>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35D87"/>
    <w:rPr>
      <w:rFonts w:ascii="Calibri" w:eastAsia="Calibri" w:hAnsi="Calibri" w:cs="Times New Roman"/>
      <w:lang w:val="en-AU"/>
    </w:rPr>
  </w:style>
  <w:style w:type="paragraph" w:styleId="Subsol">
    <w:name w:val="footer"/>
    <w:basedOn w:val="Normal"/>
    <w:link w:val="SubsolCaracter"/>
    <w:uiPriority w:val="99"/>
    <w:unhideWhenUsed/>
    <w:rsid w:val="00535D87"/>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35D87"/>
    <w:rPr>
      <w:rFonts w:ascii="Calibri" w:eastAsia="Calibri" w:hAnsi="Calibri" w:cs="Times New Roman"/>
      <w:lang w:val="en-AU"/>
    </w:rPr>
  </w:style>
  <w:style w:type="paragraph" w:styleId="TextnBalon">
    <w:name w:val="Balloon Text"/>
    <w:basedOn w:val="Normal"/>
    <w:link w:val="TextnBalonCaracter"/>
    <w:uiPriority w:val="99"/>
    <w:semiHidden/>
    <w:unhideWhenUsed/>
    <w:rsid w:val="00601D3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01D3A"/>
    <w:rPr>
      <w:rFonts w:ascii="Tahoma" w:eastAsia="Calibri"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6154</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Tatiana</cp:lastModifiedBy>
  <cp:revision>2</cp:revision>
  <cp:lastPrinted>2014-06-16T10:41:00Z</cp:lastPrinted>
  <dcterms:created xsi:type="dcterms:W3CDTF">2014-10-10T08:38:00Z</dcterms:created>
  <dcterms:modified xsi:type="dcterms:W3CDTF">2014-10-10T08:38:00Z</dcterms:modified>
</cp:coreProperties>
</file>